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 vom 4. Januar 2017</w:t>
      </w:r>
    </w:p>
    <w:p>
      <w:r>
        <w:t>Sg Verwaltungsgericht, 2017-01-04, DE</w:t>
      </w:r>
    </w:p>
    <w:p>
      <w:r>
        <w:rPr>
          <w:b/>
        </w:rPr>
        <w:t xml:space="preserve">Quelle: </w:t>
      </w:r>
      <w:r>
        <w:t>https://mcp.opencaselaw.ch/entscheid/sg_publikationen_B 2017_9</w:t>
      </w:r>
    </w:p>
    <w:p>
      <w:r>
        <w:t>FR: SG_VERWALTUNGSGERICHT B 2017/9 du 4 janvier 2017</w:t>
      </w:r>
    </w:p>
    <w:p>
      <w:r>
        <w:t>IT: SG_VERWALTUNGSGERICHT B 2017/9 del 4 gennaio 2017</w:t>
      </w:r>
    </w:p>
    <w:p>
      <w:pPr>
        <w:pStyle w:val="Heading2"/>
      </w:pPr>
      <w:r>
        <w:t>Regeste</w:t>
      </w:r>
    </w:p>
    <w:p>
      <w:r>
        <w:t>Festsetzung der Parteientschädigung nach Rückweisung durch das Bundesgericht. Art. 98 Abs. 1 VRP (sGS 951.1), (Verwaltungsgericht, B 2017/9).</w:t>
      </w:r>
    </w:p>
    <w:p>
      <w:pPr>
        <w:pStyle w:val="Heading2"/>
      </w:pPr>
      <w:r>
        <w:t>Erwägungen</w:t>
      </w:r>
    </w:p>
    <w:p>
      <w:r>
        <w:rPr>
          <w:b/>
        </w:rPr>
        <w:t>E. 1</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Gemäss Bundesgerichtsurteil 1C_301/2016 (E. 3.6) ist die Parteientschädigung zugunsten der Beschwerdegegnerin festzusetzen. Diese hat im verwaltungsgerichtlichen Verfahren vollumfänglich obsiegt. Ihre Rechtsvertreterin hat eine Kostennote im Betrag von Fr. 3‘931.20 (Honorar von Fr. 3‘500.-- gemäss Art. 22 Abs. 1 lit. b der Honorarordnung für Rechtsanwälte und Rechtsagenten, sGS 963.75 [HonO], Barauslagen von Fr. 140.- und Mehrwertsteuer von Fr. 291.20) eingereicht. Unter Berücksichtigung des Aufwandes erscheint diese Entschädigung zulasten des Beschwerdeführers als angemessen. Die Mehrwertsteuer wird grundsätzlich dazu gerechnet (Art. 29 HonO). Da die Beschwerdegegnerin aber selber mehrwertsteuerpflichtig ist, kann sie die der Honorarrechnung ihrer Anwältin belastete Mehrwertsteuer als Vorsteuer in Abzug bringen. Daher muss die in Rechnung gestellte Mehrwertsteuer von Fr. 291.20 bei der Bemessung der ausseramtlichen Entschädigung nicht zusätzlich berücksichtigt werden (VerwGE B 2013/181 vom 19. August 2014, E. 6). Diese ist somit auf Fr. 3‘640.-- festzusetzen.</w:t>
      </w:r>
    </w:p>
    <w:p>
      <w:r>
        <w:rPr>
          <w:b/>
        </w:rPr>
        <w:t>E. 2</w:t>
      </w:r>
    </w:p>
    <w:p>
      <w:r>
        <w:t>Für diesen Entscheid werden weder amtliche Kosten erhoben noch ausseramtliche Kosten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